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pBdr>
          <w:bottom w:val="none" w:color="auto" w:sz="0" w:space="0"/>
        </w:pBdr>
        <w:rPr>
          <w:b/>
          <w:color w:val="FF0000"/>
          <w:sz w:val="36"/>
          <w:szCs w:val="36"/>
        </w:rPr>
      </w:pPr>
      <w:r>
        <w:rPr>
          <w:rFonts w:hint="eastAsia"/>
          <w:b/>
          <w:color w:val="FF0000"/>
          <w:spacing w:val="60"/>
          <w:sz w:val="52"/>
          <w:szCs w:val="52"/>
        </w:rPr>
        <w:t>成都世纪阳天科技有限公司文件</w:t>
      </w:r>
    </w:p>
    <w:p>
      <w:pPr>
        <w:pStyle w:val="5"/>
        <w:pBdr>
          <w:bottom w:val="none" w:color="auto" w:sz="0" w:space="0"/>
        </w:pBdr>
        <w:rPr>
          <w:b/>
          <w:color w:val="FF0000"/>
          <w:sz w:val="10"/>
          <w:szCs w:val="10"/>
        </w:rPr>
      </w:pPr>
      <w:r>
        <w:rPr>
          <w:rFonts w:hint="eastAsia"/>
          <w:b/>
          <w:color w:val="FF0000"/>
          <w:sz w:val="44"/>
          <w:szCs w:val="44"/>
        </w:rPr>
        <w:t xml:space="preserve">              </w:t>
      </w:r>
    </w:p>
    <w:p>
      <w:pPr>
        <w:pStyle w:val="5"/>
        <w:pBdr>
          <w:bottom w:val="none" w:color="auto" w:sz="0" w:space="0"/>
        </w:pBdr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44"/>
          <w:szCs w:val="44"/>
        </w:rPr>
        <w:t xml:space="preserve">      </w:t>
      </w:r>
      <w:r>
        <w:rPr>
          <w:rFonts w:hint="eastAsia" w:ascii="宋体" w:hAnsi="宋体"/>
          <w:b/>
          <w:color w:val="FF0000"/>
          <w:sz w:val="28"/>
          <w:szCs w:val="28"/>
        </w:rPr>
        <w:t>成世行字[201</w:t>
      </w:r>
      <w:r>
        <w:rPr>
          <w:rFonts w:hint="eastAsia" w:ascii="宋体" w:hAnsi="宋体"/>
          <w:b/>
          <w:color w:val="FF0000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b/>
          <w:color w:val="FF0000"/>
          <w:sz w:val="28"/>
          <w:szCs w:val="28"/>
        </w:rPr>
        <w:t xml:space="preserve">] </w:t>
      </w:r>
      <w:r>
        <w:rPr>
          <w:rFonts w:hint="eastAsia" w:ascii="宋体" w:hAnsi="宋体"/>
          <w:b/>
          <w:color w:val="FF0000"/>
          <w:sz w:val="28"/>
          <w:szCs w:val="28"/>
          <w:lang w:val="en-US" w:eastAsia="zh-CN"/>
        </w:rPr>
        <w:t>XX</w:t>
      </w:r>
      <w:r>
        <w:rPr>
          <w:rFonts w:hint="eastAsia" w:ascii="宋体" w:hAnsi="宋体"/>
          <w:b/>
          <w:color w:val="FF0000"/>
          <w:sz w:val="28"/>
          <w:szCs w:val="28"/>
        </w:rPr>
        <w:t>号      签发：</w:t>
      </w:r>
    </w:p>
    <w:p>
      <w:pPr>
        <w:pStyle w:val="5"/>
        <w:pBdr>
          <w:bottom w:val="none" w:color="auto" w:sz="0" w:space="0"/>
        </w:pBdr>
        <w:spacing w:line="280" w:lineRule="exact"/>
        <w:ind w:left="424" w:leftChars="202"/>
        <w:jc w:val="both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/>
          <w:b/>
          <w:sz w:val="44"/>
          <w:szCs w:val="44"/>
        </w:rPr>
        <w:pict>
          <v:line id="Line 16" o:spid="_x0000_s1028" o:spt="20" style="position:absolute;left:0pt;margin-left:10.8pt;margin-top:8.15pt;height:0pt;width:495pt;z-index:251658240;mso-width-relative:page;mso-height-relative:page;" stroked="t" coordsize="21600,21600">
            <v:path arrowok="t"/>
            <v:fill focussize="0,0"/>
            <v:stroke weight="1.25pt" color="#FF0000"/>
            <v:imagedata o:title=""/>
            <o:lock v:ext="edit"/>
          </v:line>
        </w:pict>
      </w:r>
    </w:p>
    <w:p>
      <w:pPr>
        <w:pStyle w:val="5"/>
        <w:pBdr>
          <w:bottom w:val="none" w:color="auto" w:sz="0" w:space="0"/>
        </w:pBdr>
        <w:spacing w:line="360" w:lineRule="auto"/>
        <w:jc w:val="center"/>
        <w:rPr>
          <w:rFonts w:hint="eastAsia" w:asciiTheme="minorEastAsia" w:hAnsiTheme="minorEastAsia"/>
          <w:b/>
          <w:sz w:val="10"/>
          <w:szCs w:val="10"/>
        </w:rPr>
      </w:pPr>
    </w:p>
    <w:p>
      <w:pPr>
        <w:pStyle w:val="5"/>
        <w:pBdr>
          <w:bottom w:val="none" w:color="auto" w:sz="0" w:space="0"/>
        </w:pBdr>
        <w:spacing w:line="360" w:lineRule="auto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关于</w:t>
      </w:r>
      <w:r>
        <w:rPr>
          <w:rFonts w:hint="eastAsia" w:asciiTheme="minorEastAsia" w:hAnsiTheme="minorEastAsia"/>
          <w:b/>
          <w:sz w:val="44"/>
          <w:szCs w:val="44"/>
          <w:lang w:val="en-US" w:eastAsia="zh-CN"/>
        </w:rPr>
        <w:t>运维技术部</w:t>
      </w:r>
      <w:r>
        <w:rPr>
          <w:rFonts w:hint="eastAsia" w:asciiTheme="minorEastAsia" w:hAnsiTheme="minorEastAsia"/>
          <w:b/>
          <w:sz w:val="44"/>
          <w:szCs w:val="44"/>
        </w:rPr>
        <w:t>管理规定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第一条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为了规范公司运维管理部各项工作，使相关工作具有持续改善性及相互协作性，同时加强计算机设备的合理管理及日常维护，明确部门的职能职责，提高工作效率，</w:t>
      </w:r>
      <w:r>
        <w:rPr>
          <w:rFonts w:hint="eastAsia" w:ascii="宋体" w:hAnsi="宋体" w:eastAsia="宋体"/>
          <w:sz w:val="28"/>
          <w:szCs w:val="28"/>
          <w:lang w:eastAsia="zh-CN"/>
        </w:rPr>
        <w:t>保障公司网络系统正常、安全、可靠运行、有效防范网络风险，提高运维技术人员工作服务满意度。本着“科学、</w:t>
      </w:r>
      <w:r>
        <w:rPr>
          <w:rFonts w:hint="eastAsia" w:ascii="宋体" w:hAnsi="宋体" w:eastAsia="宋体"/>
          <w:sz w:val="28"/>
          <w:szCs w:val="28"/>
        </w:rPr>
        <w:t>规范</w:t>
      </w:r>
      <w:r>
        <w:rPr>
          <w:rFonts w:hint="eastAsia" w:ascii="宋体" w:hAnsi="宋体" w:eastAsia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/>
          <w:sz w:val="28"/>
          <w:szCs w:val="28"/>
        </w:rPr>
        <w:t>有序</w:t>
      </w:r>
      <w:r>
        <w:rPr>
          <w:rFonts w:hint="eastAsia" w:ascii="宋体" w:hAnsi="宋体" w:eastAsia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/>
          <w:sz w:val="28"/>
          <w:szCs w:val="28"/>
        </w:rPr>
        <w:t>的原则，根据公司实际情况，特制定本制度。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 xml:space="preserve">第二条  </w:t>
      </w:r>
      <w:r>
        <w:rPr>
          <w:rFonts w:hint="eastAsia" w:ascii="宋体" w:hAnsi="宋体" w:eastAsia="宋体"/>
          <w:sz w:val="28"/>
          <w:szCs w:val="28"/>
          <w:lang w:eastAsia="zh-CN"/>
        </w:rPr>
        <w:t>本办法涉及的范围包括公司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/关联公司</w:t>
      </w:r>
      <w:r>
        <w:rPr>
          <w:rFonts w:hint="eastAsia" w:ascii="宋体" w:hAnsi="宋体" w:eastAsia="宋体"/>
          <w:sz w:val="28"/>
          <w:szCs w:val="28"/>
          <w:lang w:eastAsia="zh-CN"/>
        </w:rPr>
        <w:t>内部网络、外部网络，公司内部机房、计算机、服务器、路由器、AP、无线路由、打印机等联网设备，以及公司信息安全。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第三条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  <w:lang w:eastAsia="zh-CN"/>
        </w:rPr>
        <w:t>运维技术部为公司网络管理办法的归口管理部门，对本公司的网络管理制度实施统一管理，并履行以下职责：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8"/>
          <w:szCs w:val="28"/>
          <w:lang w:eastAsia="zh-CN"/>
        </w:rPr>
        <w:t>组织并实施公司网络的部署和改造；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/>
          <w:sz w:val="28"/>
          <w:szCs w:val="28"/>
          <w:lang w:eastAsia="zh-CN"/>
        </w:rPr>
        <w:t>监管公司网络使用情况，并作出相应调整；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839" w:leftChars="266" w:hanging="280" w:hangingChars="1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/>
          <w:sz w:val="28"/>
          <w:szCs w:val="28"/>
          <w:lang w:eastAsia="zh-CN"/>
        </w:rPr>
        <w:t>运维技术部对公司所有计算机软、硬件及信息实行统一管理，负责对公司计算机及网络设备进行维护和维修；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/>
          <w:sz w:val="28"/>
          <w:szCs w:val="28"/>
          <w:lang w:eastAsia="zh-CN"/>
        </w:rPr>
        <w:t>运维技术部负责对公司网站进行信息维护、更新和安全防护；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6.运维技术部负责公司机房的日常管理、维护。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7.运维技术部负责公司所有服</w:t>
      </w:r>
      <w:r>
        <w:rPr>
          <w:rFonts w:hint="eastAsia" w:ascii="宋体" w:hAnsi="宋体" w:eastAsia="宋体"/>
          <w:sz w:val="28"/>
          <w:szCs w:val="28"/>
          <w:highlight w:val="yellow"/>
          <w:lang w:val="en-US" w:eastAsia="zh-CN"/>
        </w:rPr>
        <w:t>务器的开通和管理。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  <w:lang w:eastAsia="zh-CN"/>
        </w:rPr>
        <w:t>四</w:t>
      </w:r>
      <w:r>
        <w:rPr>
          <w:rFonts w:hint="eastAsia"/>
          <w:b/>
          <w:sz w:val="28"/>
          <w:szCs w:val="28"/>
        </w:rPr>
        <w:t xml:space="preserve">条 </w:t>
      </w:r>
      <w:r>
        <w:rPr>
          <w:rFonts w:hint="eastAsia"/>
          <w:sz w:val="28"/>
          <w:szCs w:val="28"/>
          <w:lang w:val="en-US" w:eastAsia="zh-CN"/>
        </w:rPr>
        <w:t xml:space="preserve"> 日常工作安排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8"/>
          <w:szCs w:val="28"/>
          <w:lang w:eastAsia="zh-CN"/>
        </w:rPr>
        <w:t>机房日常管理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398" w:leftChars="399" w:hanging="560" w:hanging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（一）运维技术部人员负责公司机房的日常维护与管理工作。机房管理需建立管理台账，登记机房设备的详细信息。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398" w:leftChars="399" w:hanging="560" w:hanging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（二）机房需保持环境清洁卫生，设备整齐有序。每周由运维技术部人员对设备进行一次维护检查。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399" w:leftChars="266" w:hanging="840" w:hangingChars="300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2.电脑办公网络管理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398" w:leftChars="399" w:hanging="560" w:hanging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（一）运维技术部负责公司内外部网络的建设、管理与维护工作，包括公司办公设备网络的接入、使用与维护。网络故障、设备故障的及时调试，处理。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398" w:leftChars="399" w:hanging="560" w:hanging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（二）公司局域网对全公司开放，由运维技术部负责维护与设置。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398" w:leftChars="399" w:hanging="560" w:hanging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（三）运维技术部负责公司内所有无线路由、网络地址、网络交换等设备的统一管理。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398" w:leftChars="399" w:hanging="560" w:hangingChars="200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（四）运维技术部负责公司内部的网络资源分配、访问权限的统一规划管理，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399" w:leftChars="266" w:hanging="840" w:hangingChars="300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3.服务器管理</w:t>
      </w:r>
    </w:p>
    <w:p>
      <w:pPr>
        <w:numPr>
          <w:ilvl w:val="0"/>
          <w:numId w:val="0"/>
        </w:numPr>
        <w:spacing w:line="360" w:lineRule="auto"/>
        <w:ind w:leftChars="7" w:firstLine="840" w:firstLineChars="3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（一）</w:t>
      </w:r>
    </w:p>
    <w:p>
      <w:pPr>
        <w:numPr>
          <w:ilvl w:val="0"/>
          <w:numId w:val="0"/>
        </w:numPr>
        <w:spacing w:line="360" w:lineRule="auto"/>
        <w:ind w:leftChars="7" w:firstLine="840" w:firstLineChars="3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（二）</w:t>
      </w:r>
    </w:p>
    <w:p>
      <w:pPr>
        <w:numPr>
          <w:ilvl w:val="0"/>
          <w:numId w:val="0"/>
        </w:numPr>
        <w:spacing w:line="360" w:lineRule="auto"/>
        <w:ind w:leftChars="7" w:firstLine="840" w:firstLineChars="3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399" w:leftChars="266" w:hanging="840" w:hangingChars="300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4.终端设备管理</w:t>
      </w:r>
    </w:p>
    <w:p>
      <w:pPr>
        <w:numPr>
          <w:numId w:val="0"/>
        </w:numPr>
        <w:spacing w:line="360" w:lineRule="auto"/>
        <w:ind w:firstLine="840" w:firstLineChars="3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（一）负责公司所有终端PC、笔记本等设备操作系统、应用软件</w:t>
      </w:r>
      <w:r>
        <w:rPr>
          <w:rFonts w:hint="eastAsia" w:ascii="宋体" w:hAnsi="宋体" w:eastAsia="宋体" w:cs="宋体"/>
          <w:kern w:val="0"/>
          <w:sz w:val="24"/>
          <w:szCs w:val="24"/>
        </w:rPr>
        <w:t>安装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和硬件故障的维护/更换，确保工作员工工作的正常开展。</w:t>
      </w:r>
    </w:p>
    <w:p>
      <w:pPr>
        <w:numPr>
          <w:numId w:val="0"/>
        </w:numPr>
        <w:spacing w:line="360" w:lineRule="auto"/>
        <w:ind w:firstLine="840" w:firstLineChars="3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（二）对需要报废的计算机等互联网设备进行评审检查，装卸可用设备，确保公司固定资产的安全。</w:t>
      </w:r>
    </w:p>
    <w:p>
      <w:pPr>
        <w:numPr>
          <w:ilvl w:val="0"/>
          <w:numId w:val="0"/>
        </w:numPr>
        <w:spacing w:line="360" w:lineRule="auto"/>
        <w:ind w:firstLine="840" w:firstLineChars="3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（三）完成打印机等其他设备的故障处理。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第五条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绩效考核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每月根据员工工作结果、态度、日常行为规范等对测试人员进行月度绩效考评。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</w:rPr>
        <w:t>第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六</w:t>
      </w:r>
      <w:r>
        <w:rPr>
          <w:rFonts w:hint="eastAsia" w:asciiTheme="minorEastAsia" w:hAnsiTheme="minorEastAsia"/>
          <w:b/>
          <w:sz w:val="28"/>
          <w:szCs w:val="28"/>
        </w:rPr>
        <w:t xml:space="preserve">条 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信息安全管理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  <w:highlight w:val="yellow"/>
        </w:rPr>
      </w:pPr>
      <w:r>
        <w:rPr>
          <w:rFonts w:hint="eastAsia"/>
          <w:sz w:val="28"/>
          <w:szCs w:val="28"/>
          <w:lang w:val="en-US" w:eastAsia="zh-CN"/>
        </w:rPr>
        <w:t>测试人员需严格按照公司保密及竞业禁止协议的规定，维护公司信息安全。未经允许不得下载、拷贝项目组各项信息资源到个人电脑等移动设备中。不得随意传播项目组信息。一经发现公司将对泄露信息人员进行严肃处理。</w:t>
      </w:r>
    </w:p>
    <w:p>
      <w:pPr>
        <w:keepNext w:val="0"/>
        <w:keepLines w:val="0"/>
        <w:pageBreakBefore w:val="0"/>
        <w:widowControl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第</w:t>
      </w:r>
      <w:r>
        <w:rPr>
          <w:rFonts w:hint="eastAsia" w:ascii="宋体" w:hAnsi="宋体"/>
          <w:b/>
          <w:sz w:val="28"/>
          <w:szCs w:val="28"/>
          <w:highlight w:val="none"/>
          <w:lang w:eastAsia="zh-CN"/>
        </w:rPr>
        <w:t>七</w:t>
      </w:r>
      <w:r>
        <w:rPr>
          <w:rFonts w:hint="eastAsia" w:ascii="宋体" w:hAnsi="宋体"/>
          <w:b/>
          <w:sz w:val="28"/>
          <w:szCs w:val="28"/>
          <w:highlight w:val="none"/>
        </w:rPr>
        <w:t xml:space="preserve">条 </w:t>
      </w:r>
      <w:r>
        <w:rPr>
          <w:rFonts w:hint="eastAsia" w:ascii="宋体" w:hAnsi="宋体"/>
          <w:sz w:val="28"/>
          <w:szCs w:val="28"/>
          <w:highlight w:val="none"/>
        </w:rPr>
        <w:t xml:space="preserve"> </w:t>
      </w:r>
      <w:r>
        <w:rPr>
          <w:rFonts w:hint="eastAsia" w:ascii="宋体" w:hAnsi="宋体"/>
          <w:b w:val="0"/>
          <w:bCs/>
          <w:sz w:val="28"/>
          <w:szCs w:val="28"/>
          <w:highlight w:val="none"/>
        </w:rPr>
        <w:t>附</w:t>
      </w:r>
      <w:r>
        <w:rPr>
          <w:rFonts w:hint="eastAsia" w:ascii="宋体" w:hAnsi="宋体"/>
          <w:b w:val="0"/>
          <w:bCs/>
          <w:sz w:val="28"/>
          <w:szCs w:val="28"/>
        </w:rPr>
        <w:t>则</w:t>
      </w:r>
    </w:p>
    <w:p>
      <w:pPr>
        <w:numPr>
          <w:ilvl w:val="0"/>
          <w:numId w:val="0"/>
        </w:numPr>
        <w:tabs>
          <w:tab w:val="left" w:pos="567"/>
        </w:tabs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sz w:val="28"/>
          <w:szCs w:val="28"/>
        </w:rPr>
        <w:t>本制度由总经办企管部负责解释、修订和补充。</w:t>
      </w:r>
    </w:p>
    <w:p>
      <w:pPr>
        <w:numPr>
          <w:ilvl w:val="0"/>
          <w:numId w:val="0"/>
        </w:numPr>
        <w:tabs>
          <w:tab w:val="left" w:pos="567"/>
        </w:tabs>
        <w:ind w:firstLine="560" w:firstLineChars="200"/>
        <w:rPr>
          <w:rFonts w:hint="eastAsia" w:asciiTheme="minorEastAsia" w:hAnsiTheme="minorEastAsia"/>
          <w:sz w:val="28"/>
          <w:szCs w:val="28"/>
          <w:highlight w:val="yellow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</w:t>
      </w:r>
      <w:r>
        <w:rPr>
          <w:rFonts w:ascii="宋体" w:hAnsi="宋体"/>
          <w:sz w:val="28"/>
          <w:szCs w:val="28"/>
        </w:rPr>
        <w:t>本规定</w:t>
      </w:r>
      <w:r>
        <w:rPr>
          <w:rFonts w:hint="eastAsia" w:ascii="宋体" w:hAnsi="宋体"/>
          <w:sz w:val="28"/>
          <w:szCs w:val="28"/>
        </w:rPr>
        <w:t>自201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  <w:highlight w:val="yellow"/>
        </w:rPr>
        <w:t>月</w:t>
      </w:r>
      <w:r>
        <w:rPr>
          <w:rFonts w:hint="eastAsia" w:ascii="宋体" w:hAnsi="宋体"/>
          <w:sz w:val="28"/>
          <w:szCs w:val="28"/>
          <w:highlight w:val="yellow"/>
          <w:lang w:val="en-US" w:eastAsia="zh-CN"/>
        </w:rPr>
        <w:t>X</w:t>
      </w:r>
      <w:r>
        <w:rPr>
          <w:rFonts w:hint="eastAsia" w:ascii="宋体" w:hAnsi="宋体"/>
          <w:sz w:val="28"/>
          <w:szCs w:val="28"/>
        </w:rPr>
        <w:t>日</w:t>
      </w:r>
      <w:r>
        <w:rPr>
          <w:rFonts w:ascii="宋体" w:hAnsi="宋体"/>
          <w:sz w:val="28"/>
          <w:szCs w:val="28"/>
        </w:rPr>
        <w:t>起生效</w:t>
      </w:r>
      <w:r>
        <w:rPr>
          <w:rFonts w:hint="eastAsia" w:ascii="宋体" w:hAnsi="宋体"/>
          <w:sz w:val="28"/>
          <w:szCs w:val="28"/>
        </w:rPr>
        <w:t>施</w:t>
      </w:r>
      <w:r>
        <w:rPr>
          <w:rFonts w:ascii="宋体" w:hAnsi="宋体"/>
          <w:sz w:val="28"/>
          <w:szCs w:val="28"/>
        </w:rPr>
        <w:t>行。</w:t>
      </w:r>
    </w:p>
    <w:p>
      <w:pPr>
        <w:wordWrap/>
        <w:jc w:val="left"/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</w:pPr>
    </w:p>
    <w:p>
      <w:pPr>
        <w:wordWrap/>
        <w:jc w:val="left"/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>
      <w:pPr>
        <w:jc w:val="right"/>
        <w:rPr>
          <w:rFonts w:ascii="宋体" w:hAnsi="宋体" w:eastAsia="宋体"/>
          <w:sz w:val="28"/>
          <w:szCs w:val="28"/>
          <w:highlight w:val="none"/>
        </w:rPr>
      </w:pPr>
      <w:r>
        <w:rPr>
          <w:rFonts w:hint="eastAsia" w:asciiTheme="minorEastAsia" w:hAnsiTheme="minorEastAsia"/>
          <w:sz w:val="28"/>
          <w:szCs w:val="28"/>
          <w:highlight w:val="none"/>
        </w:rPr>
        <w:t>成都世纪阳天科技有限公司</w:t>
      </w:r>
    </w:p>
    <w:p>
      <w:pPr>
        <w:ind w:firstLine="980" w:firstLineChars="350"/>
        <w:jc w:val="right"/>
        <w:rPr>
          <w:rFonts w:asciiTheme="minorEastAsia" w:hAnsiTheme="minorEastAsia"/>
          <w:sz w:val="28"/>
          <w:szCs w:val="28"/>
          <w:highlight w:val="yellow"/>
        </w:rPr>
      </w:pPr>
      <w:r>
        <w:rPr>
          <w:rFonts w:hint="eastAsia" w:asciiTheme="minorEastAsia" w:hAnsiTheme="minorEastAsia"/>
          <w:sz w:val="28"/>
          <w:szCs w:val="28"/>
          <w:highlight w:val="none"/>
        </w:rPr>
        <w:t xml:space="preserve">                              二〇一</w:t>
      </w:r>
      <w:r>
        <w:rPr>
          <w:rFonts w:hint="eastAsia" w:asciiTheme="minorEastAsia" w:hAnsiTheme="minorEastAsia"/>
          <w:sz w:val="28"/>
          <w:szCs w:val="28"/>
          <w:highlight w:val="none"/>
          <w:lang w:eastAsia="zh-CN"/>
        </w:rPr>
        <w:t>九</w:t>
      </w:r>
      <w:r>
        <w:rPr>
          <w:rFonts w:hint="eastAsia" w:asciiTheme="minorEastAsia" w:hAnsiTheme="minorEastAsia"/>
          <w:sz w:val="28"/>
          <w:szCs w:val="28"/>
          <w:highlight w:val="none"/>
        </w:rPr>
        <w:t>年</w:t>
      </w:r>
      <w:r>
        <w:rPr>
          <w:rFonts w:hint="eastAsia" w:asciiTheme="minorEastAsia" w:hAnsiTheme="minorEastAsia"/>
          <w:sz w:val="28"/>
          <w:szCs w:val="28"/>
          <w:highlight w:val="none"/>
          <w:lang w:eastAsia="zh-CN"/>
        </w:rPr>
        <w:t>三</w:t>
      </w:r>
      <w:r>
        <w:rPr>
          <w:rFonts w:hint="eastAsia" w:asciiTheme="minorEastAsia" w:hAnsiTheme="minorEastAsia"/>
          <w:sz w:val="28"/>
          <w:szCs w:val="28"/>
          <w:highlight w:val="none"/>
        </w:rPr>
        <w:t>月</w:t>
      </w:r>
      <w:r>
        <w:rPr>
          <w:rFonts w:hint="eastAsia" w:asciiTheme="minorEastAsia" w:hAnsiTheme="minorEastAsia"/>
          <w:sz w:val="28"/>
          <w:szCs w:val="28"/>
          <w:highlight w:val="yellow"/>
          <w:lang w:val="en-US" w:eastAsia="zh-CN"/>
        </w:rPr>
        <w:t>XX</w:t>
      </w:r>
      <w:r>
        <w:rPr>
          <w:rFonts w:hint="eastAsia" w:asciiTheme="minorEastAsia" w:hAnsiTheme="minorEastAsia"/>
          <w:sz w:val="28"/>
          <w:szCs w:val="28"/>
          <w:highlight w:val="yellow"/>
        </w:rPr>
        <w:t>日</w:t>
      </w:r>
    </w:p>
    <w:p>
      <w:pPr>
        <w:rPr>
          <w:rFonts w:ascii="宋体" w:hAnsi="宋体"/>
          <w:sz w:val="28"/>
          <w:szCs w:val="28"/>
          <w:highlight w:val="none"/>
          <w:u w:val="single"/>
        </w:rPr>
      </w:pPr>
      <w:r>
        <w:rPr>
          <w:rFonts w:hint="eastAsia" w:ascii="宋体" w:hAnsi="宋体"/>
          <w:sz w:val="28"/>
          <w:szCs w:val="28"/>
          <w:highlight w:val="none"/>
          <w:u w:val="single"/>
        </w:rPr>
        <w:t>主题词：</w:t>
      </w:r>
      <w:r>
        <w:rPr>
          <w:rFonts w:hint="eastAsia" w:ascii="宋体" w:hAnsi="宋体"/>
          <w:sz w:val="28"/>
          <w:szCs w:val="28"/>
          <w:highlight w:val="none"/>
          <w:u w:val="single"/>
          <w:lang w:eastAsia="zh-CN"/>
        </w:rPr>
        <w:t>运维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管理   规定                                                                        </w:t>
      </w:r>
    </w:p>
    <w:p>
      <w:pPr>
        <w:rPr>
          <w:rFonts w:ascii="宋体" w:hAnsi="宋体"/>
          <w:sz w:val="28"/>
          <w:szCs w:val="28"/>
          <w:highlight w:val="none"/>
          <w:u w:val="single"/>
        </w:rPr>
      </w:pP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报送：总经理                                                               </w:t>
      </w:r>
    </w:p>
    <w:p>
      <w:pPr>
        <w:rPr>
          <w:rFonts w:ascii="宋体" w:hAnsi="宋体"/>
          <w:sz w:val="28"/>
          <w:szCs w:val="28"/>
          <w:highlight w:val="none"/>
          <w:u w:val="single"/>
        </w:rPr>
      </w:pP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抄送：副总经理   各部门经理                                                </w:t>
      </w:r>
    </w:p>
    <w:p>
      <w:pPr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行政部存档                                    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</w:t>
      </w:r>
    </w:p>
    <w:p>
      <w:pPr>
        <w:rPr>
          <w:rFonts w:hint="eastAsia" w:ascii="宋体" w:hAnsi="宋体"/>
          <w:sz w:val="28"/>
          <w:szCs w:val="28"/>
          <w:u w:val="single"/>
        </w:rPr>
      </w:pPr>
    </w:p>
    <w:p>
      <w:pPr>
        <w:rPr>
          <w:rFonts w:hint="eastAsia" w:ascii="宋体" w:hAnsi="宋体"/>
          <w:sz w:val="28"/>
          <w:szCs w:val="28"/>
          <w:u w:val="single"/>
        </w:rPr>
      </w:pPr>
    </w:p>
    <w:p>
      <w:pPr>
        <w:rPr>
          <w:rFonts w:hint="eastAsia" w:ascii="宋体" w:hAnsi="宋体"/>
          <w:sz w:val="28"/>
          <w:szCs w:val="28"/>
          <w:u w:val="single"/>
        </w:rPr>
      </w:pPr>
    </w:p>
    <w:p>
      <w:pPr>
        <w:rPr>
          <w:rFonts w:hint="eastAsia" w:ascii="宋体" w:hAnsi="宋体"/>
          <w:sz w:val="28"/>
          <w:szCs w:val="28"/>
          <w:u w:val="single"/>
        </w:rPr>
      </w:pPr>
    </w:p>
    <w:p>
      <w:pPr>
        <w:rPr>
          <w:rFonts w:hint="eastAsia" w:ascii="宋体" w:hAnsi="宋体"/>
          <w:sz w:val="28"/>
          <w:szCs w:val="28"/>
          <w:u w:val="single"/>
        </w:rPr>
      </w:pPr>
    </w:p>
    <w:p>
      <w:pPr>
        <w:rPr>
          <w:rFonts w:hint="eastAsia" w:ascii="宋体" w:hAnsi="宋体"/>
          <w:sz w:val="28"/>
          <w:szCs w:val="28"/>
          <w:u w:val="single"/>
        </w:rPr>
      </w:pPr>
    </w:p>
    <w:p>
      <w:pPr>
        <w:rPr>
          <w:rFonts w:hint="eastAsia" w:ascii="宋体" w:hAnsi="宋体"/>
          <w:sz w:val="28"/>
          <w:szCs w:val="28"/>
          <w:u w:val="single"/>
        </w:rPr>
      </w:pPr>
    </w:p>
    <w:p>
      <w:pPr>
        <w:rPr>
          <w:rFonts w:hint="eastAsia" w:ascii="宋体" w:hAnsi="宋体"/>
          <w:sz w:val="28"/>
          <w:szCs w:val="28"/>
          <w:u w:val="single"/>
        </w:rPr>
      </w:pPr>
    </w:p>
    <w:p>
      <w:pPr>
        <w:rPr>
          <w:rFonts w:hint="eastAsia" w:ascii="宋体" w:hAnsi="宋体"/>
          <w:sz w:val="28"/>
          <w:szCs w:val="28"/>
          <w:u w:val="single"/>
        </w:rPr>
      </w:pPr>
    </w:p>
    <w:p>
      <w:pPr>
        <w:rPr>
          <w:rFonts w:hint="eastAsia" w:ascii="宋体" w:hAnsi="宋体"/>
          <w:sz w:val="28"/>
          <w:szCs w:val="28"/>
          <w:u w:val="single"/>
        </w:rPr>
      </w:pPr>
    </w:p>
    <w:p>
      <w:pPr>
        <w:rPr>
          <w:rFonts w:hint="eastAsia" w:ascii="宋体" w:hAnsi="宋体"/>
          <w:sz w:val="28"/>
          <w:szCs w:val="28"/>
          <w:u w:val="single"/>
        </w:rPr>
      </w:pPr>
    </w:p>
    <w:p>
      <w:pPr>
        <w:rPr>
          <w:rFonts w:hint="eastAsia" w:ascii="宋体" w:hAnsi="宋体"/>
          <w:sz w:val="28"/>
          <w:szCs w:val="28"/>
          <w:u w:val="single"/>
        </w:rPr>
      </w:pPr>
    </w:p>
    <w:p>
      <w:pPr>
        <w:rPr>
          <w:rFonts w:hint="eastAsia" w:ascii="宋体" w:hAnsi="宋体"/>
          <w:sz w:val="28"/>
          <w:szCs w:val="28"/>
          <w:u w:val="single"/>
        </w:rPr>
      </w:pPr>
    </w:p>
    <w:sectPr>
      <w:footerReference r:id="rId3" w:type="default"/>
      <w:pgSz w:w="11906" w:h="16838"/>
      <w:pgMar w:top="1440" w:right="720" w:bottom="1440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058827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E3E35"/>
    <w:rsid w:val="000140A8"/>
    <w:rsid w:val="00022047"/>
    <w:rsid w:val="000262D7"/>
    <w:rsid w:val="00037FB8"/>
    <w:rsid w:val="00040510"/>
    <w:rsid w:val="00043429"/>
    <w:rsid w:val="00044E2B"/>
    <w:rsid w:val="000457CB"/>
    <w:rsid w:val="000630FB"/>
    <w:rsid w:val="0006629D"/>
    <w:rsid w:val="000D1BDF"/>
    <w:rsid w:val="000D30D8"/>
    <w:rsid w:val="000D464A"/>
    <w:rsid w:val="00104E7F"/>
    <w:rsid w:val="001079CE"/>
    <w:rsid w:val="00110031"/>
    <w:rsid w:val="0011440D"/>
    <w:rsid w:val="00141AFE"/>
    <w:rsid w:val="00175E1C"/>
    <w:rsid w:val="00184C58"/>
    <w:rsid w:val="00196294"/>
    <w:rsid w:val="001C74A7"/>
    <w:rsid w:val="001C7BB2"/>
    <w:rsid w:val="001D2843"/>
    <w:rsid w:val="001E4AA0"/>
    <w:rsid w:val="00201A96"/>
    <w:rsid w:val="00205E94"/>
    <w:rsid w:val="00222056"/>
    <w:rsid w:val="002239E1"/>
    <w:rsid w:val="0022605A"/>
    <w:rsid w:val="00231A5A"/>
    <w:rsid w:val="00242D88"/>
    <w:rsid w:val="00244490"/>
    <w:rsid w:val="00250B95"/>
    <w:rsid w:val="00254D19"/>
    <w:rsid w:val="002B547B"/>
    <w:rsid w:val="002D4907"/>
    <w:rsid w:val="002E19E6"/>
    <w:rsid w:val="002E2341"/>
    <w:rsid w:val="00312A9E"/>
    <w:rsid w:val="00367DC8"/>
    <w:rsid w:val="003B0DD5"/>
    <w:rsid w:val="003E0CE4"/>
    <w:rsid w:val="004003E6"/>
    <w:rsid w:val="00421AB0"/>
    <w:rsid w:val="00441426"/>
    <w:rsid w:val="00455D51"/>
    <w:rsid w:val="00461EAC"/>
    <w:rsid w:val="004D50C6"/>
    <w:rsid w:val="004D7049"/>
    <w:rsid w:val="004E0B36"/>
    <w:rsid w:val="004F7746"/>
    <w:rsid w:val="00532726"/>
    <w:rsid w:val="00566314"/>
    <w:rsid w:val="005753C6"/>
    <w:rsid w:val="00575E0C"/>
    <w:rsid w:val="00585051"/>
    <w:rsid w:val="005C03DD"/>
    <w:rsid w:val="005C7050"/>
    <w:rsid w:val="005C794F"/>
    <w:rsid w:val="00617DE9"/>
    <w:rsid w:val="0063432F"/>
    <w:rsid w:val="00667F17"/>
    <w:rsid w:val="006709C6"/>
    <w:rsid w:val="006E27F1"/>
    <w:rsid w:val="006F6092"/>
    <w:rsid w:val="00731DBC"/>
    <w:rsid w:val="00733919"/>
    <w:rsid w:val="0077680F"/>
    <w:rsid w:val="0079554E"/>
    <w:rsid w:val="007A07F4"/>
    <w:rsid w:val="007E3E35"/>
    <w:rsid w:val="007E57BC"/>
    <w:rsid w:val="00802B96"/>
    <w:rsid w:val="0081366F"/>
    <w:rsid w:val="00822B43"/>
    <w:rsid w:val="00846EBB"/>
    <w:rsid w:val="00855ED0"/>
    <w:rsid w:val="0087070D"/>
    <w:rsid w:val="00870D47"/>
    <w:rsid w:val="00874671"/>
    <w:rsid w:val="00885F08"/>
    <w:rsid w:val="008A27E2"/>
    <w:rsid w:val="008F27E5"/>
    <w:rsid w:val="008F57D4"/>
    <w:rsid w:val="00906313"/>
    <w:rsid w:val="0090643E"/>
    <w:rsid w:val="00920DBD"/>
    <w:rsid w:val="0095318B"/>
    <w:rsid w:val="00975EDD"/>
    <w:rsid w:val="009A6697"/>
    <w:rsid w:val="009B6238"/>
    <w:rsid w:val="009C172F"/>
    <w:rsid w:val="009D08B0"/>
    <w:rsid w:val="00A07515"/>
    <w:rsid w:val="00A365B3"/>
    <w:rsid w:val="00A43AC6"/>
    <w:rsid w:val="00A539AB"/>
    <w:rsid w:val="00A65592"/>
    <w:rsid w:val="00A9458F"/>
    <w:rsid w:val="00AA1420"/>
    <w:rsid w:val="00AB10A6"/>
    <w:rsid w:val="00AB4828"/>
    <w:rsid w:val="00AC5D5C"/>
    <w:rsid w:val="00B62F9F"/>
    <w:rsid w:val="00B865C4"/>
    <w:rsid w:val="00BB4C30"/>
    <w:rsid w:val="00BB5654"/>
    <w:rsid w:val="00BE6366"/>
    <w:rsid w:val="00BF4D40"/>
    <w:rsid w:val="00C02132"/>
    <w:rsid w:val="00C24E18"/>
    <w:rsid w:val="00C41E81"/>
    <w:rsid w:val="00C47F50"/>
    <w:rsid w:val="00C7329D"/>
    <w:rsid w:val="00C8219E"/>
    <w:rsid w:val="00C86DB9"/>
    <w:rsid w:val="00CA1320"/>
    <w:rsid w:val="00CA52F6"/>
    <w:rsid w:val="00CA7AFF"/>
    <w:rsid w:val="00CB78B9"/>
    <w:rsid w:val="00CC12DD"/>
    <w:rsid w:val="00CD5405"/>
    <w:rsid w:val="00CF25A9"/>
    <w:rsid w:val="00CF6381"/>
    <w:rsid w:val="00D326E5"/>
    <w:rsid w:val="00D74061"/>
    <w:rsid w:val="00D80879"/>
    <w:rsid w:val="00D872C4"/>
    <w:rsid w:val="00D92D72"/>
    <w:rsid w:val="00D94A80"/>
    <w:rsid w:val="00DC4868"/>
    <w:rsid w:val="00DC67D6"/>
    <w:rsid w:val="00DF0327"/>
    <w:rsid w:val="00E10F01"/>
    <w:rsid w:val="00E232C0"/>
    <w:rsid w:val="00E36115"/>
    <w:rsid w:val="00E36543"/>
    <w:rsid w:val="00E40FF3"/>
    <w:rsid w:val="00E5536A"/>
    <w:rsid w:val="00E62C9D"/>
    <w:rsid w:val="00E91CB0"/>
    <w:rsid w:val="00E94EAE"/>
    <w:rsid w:val="00EA03DF"/>
    <w:rsid w:val="00EA3D89"/>
    <w:rsid w:val="00EB187F"/>
    <w:rsid w:val="00EC57BA"/>
    <w:rsid w:val="00EE03AC"/>
    <w:rsid w:val="00EF7BBE"/>
    <w:rsid w:val="00F058F4"/>
    <w:rsid w:val="00F716AD"/>
    <w:rsid w:val="00F87957"/>
    <w:rsid w:val="00F9745A"/>
    <w:rsid w:val="00FD4FFC"/>
    <w:rsid w:val="0D124E18"/>
    <w:rsid w:val="0FBE68A6"/>
    <w:rsid w:val="12ED51C2"/>
    <w:rsid w:val="13606068"/>
    <w:rsid w:val="165B146C"/>
    <w:rsid w:val="174C3344"/>
    <w:rsid w:val="19BE041F"/>
    <w:rsid w:val="1B1534DA"/>
    <w:rsid w:val="22006DB0"/>
    <w:rsid w:val="234F6A70"/>
    <w:rsid w:val="237F0416"/>
    <w:rsid w:val="25411255"/>
    <w:rsid w:val="263A0BFD"/>
    <w:rsid w:val="2BCE3C7E"/>
    <w:rsid w:val="2CD07846"/>
    <w:rsid w:val="2FAD3C45"/>
    <w:rsid w:val="30C451E3"/>
    <w:rsid w:val="33EA653E"/>
    <w:rsid w:val="36127087"/>
    <w:rsid w:val="3D98667E"/>
    <w:rsid w:val="427F6CE4"/>
    <w:rsid w:val="47F63F31"/>
    <w:rsid w:val="48912564"/>
    <w:rsid w:val="51C174F2"/>
    <w:rsid w:val="5FE80F8B"/>
    <w:rsid w:val="62E03563"/>
    <w:rsid w:val="67F06FE8"/>
    <w:rsid w:val="68C23D08"/>
    <w:rsid w:val="6B70701F"/>
    <w:rsid w:val="6CEA015A"/>
    <w:rsid w:val="6D3A70C7"/>
    <w:rsid w:val="6DEE451D"/>
    <w:rsid w:val="6FB246D6"/>
    <w:rsid w:val="7AE476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3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298</Words>
  <Characters>1701</Characters>
  <Lines>14</Lines>
  <Paragraphs>3</Paragraphs>
  <TotalTime>2</TotalTime>
  <ScaleCrop>false</ScaleCrop>
  <LinksUpToDate>false</LinksUpToDate>
  <CharactersWithSpaces>1996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2015-03-09T06:27:00Z</dcterms:created>
  <dc:creator>sss</dc:creator>
  <cp:lastModifiedBy>Administrator</cp:lastModifiedBy>
  <cp:lastPrinted>2015-05-08T05:27:00Z</cp:lastPrinted>
  <dcterms:modified xsi:type="dcterms:W3CDTF">2019-03-13T03:08:54Z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